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6E" w:rsidRPr="00646E6E" w:rsidRDefault="00646E6E" w:rsidP="00646E6E">
      <w:pPr>
        <w:shd w:val="clear" w:color="auto" w:fill="FFFFFF"/>
        <w:spacing w:after="43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32"/>
          <w:szCs w:val="32"/>
          <w:lang w:val="hu-HU" w:eastAsia="hu-HU"/>
        </w:rPr>
      </w:pPr>
      <w:r w:rsidRPr="00646E6E">
        <w:rPr>
          <w:rFonts w:ascii="Georgia" w:eastAsia="Times New Roman" w:hAnsi="Georgia" w:cs="Times New Roman"/>
          <w:color w:val="000000"/>
          <w:kern w:val="36"/>
          <w:sz w:val="32"/>
          <w:szCs w:val="32"/>
          <w:lang w:val="hu-HU" w:eastAsia="hu-HU"/>
        </w:rPr>
        <w:t>Gyógyszerekkel gyúrnak agyra az amerikai egyetemisták</w:t>
      </w:r>
    </w:p>
    <w:p w:rsidR="00646E6E" w:rsidRPr="00646E6E" w:rsidRDefault="00646E6E" w:rsidP="00646E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646E6E">
          <w:rPr>
            <w:rFonts w:ascii="Arial" w:eastAsia="Times New Roman" w:hAnsi="Arial" w:cs="Arial"/>
            <w:b/>
            <w:bCs/>
            <w:color w:val="0060C3"/>
            <w:sz w:val="13"/>
            <w:u w:val="single"/>
            <w:lang w:val="hu-HU" w:eastAsia="hu-HU"/>
          </w:rPr>
          <w:t>Tátrai Péter</w:t>
        </w:r>
      </w:hyperlink>
      <w:r w:rsidRPr="00646E6E">
        <w:rPr>
          <w:rFonts w:ascii="Arial" w:eastAsia="Times New Roman" w:hAnsi="Arial" w:cs="Arial"/>
          <w:b/>
          <w:bCs/>
          <w:color w:val="C7C7C7"/>
          <w:sz w:val="11"/>
          <w:lang w:val="hu-HU" w:eastAsia="hu-HU"/>
        </w:rPr>
        <w:t>|</w:t>
      </w:r>
      <w:r w:rsidRPr="00646E6E">
        <w:rPr>
          <w:rFonts w:ascii="Arial" w:eastAsia="Times New Roman" w:hAnsi="Arial" w:cs="Arial"/>
          <w:color w:val="000000"/>
          <w:sz w:val="13"/>
          <w:lang w:val="hu-HU" w:eastAsia="hu-HU"/>
        </w:rPr>
        <w:t>2012. 02. 18., 15:28</w:t>
      </w:r>
      <w:r w:rsidRPr="00646E6E">
        <w:rPr>
          <w:rFonts w:ascii="Arial" w:eastAsia="Times New Roman" w:hAnsi="Arial" w:cs="Arial"/>
          <w:b/>
          <w:bCs/>
          <w:color w:val="C7C7C7"/>
          <w:sz w:val="11"/>
          <w:lang w:val="hu-HU" w:eastAsia="hu-HU"/>
        </w:rPr>
        <w:t>|</w:t>
      </w:r>
    </w:p>
    <w:p w:rsidR="00646E6E" w:rsidRPr="00646E6E" w:rsidRDefault="00646E6E" w:rsidP="00646E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hyperlink r:id="rId6" w:history="1">
        <w:r w:rsidRPr="00646E6E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3 komment</w:t>
        </w:r>
      </w:hyperlink>
    </w:p>
    <w:p w:rsidR="00646E6E" w:rsidRPr="00646E6E" w:rsidRDefault="00646E6E" w:rsidP="00646E6E">
      <w:pPr>
        <w:shd w:val="clear" w:color="auto" w:fill="FFFFFF"/>
        <w:spacing w:after="54" w:line="240" w:lineRule="auto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proofErr w:type="gramStart"/>
      <w:r w:rsidRPr="00646E6E">
        <w:rPr>
          <w:rFonts w:ascii="Arial" w:eastAsia="Times New Roman" w:hAnsi="Arial" w:cs="Arial"/>
          <w:color w:val="7F7F7F"/>
          <w:sz w:val="13"/>
          <w:szCs w:val="13"/>
          <w:bdr w:val="none" w:sz="0" w:space="0" w:color="auto" w:frame="1"/>
          <w:lang w:val="hu-HU" w:eastAsia="hu-HU"/>
        </w:rPr>
        <w:t>Címkék:</w:t>
      </w:r>
      <w:hyperlink r:id="rId7" w:tooltip="Egyesült Államok" w:history="1">
        <w:r w:rsidRPr="00646E6E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Egyesült Államok</w:t>
        </w:r>
      </w:hyperlink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646E6E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hyperlink r:id="rId8" w:tooltip="serkentőszer" w:history="1">
        <w:r w:rsidRPr="00646E6E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serkentőszer</w:t>
        </w:r>
      </w:hyperlink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646E6E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hyperlink r:id="rId9" w:tooltip="agyműködés" w:history="1">
        <w:r w:rsidRPr="00646E6E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agyműködés</w:t>
        </w:r>
      </w:hyperlink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646E6E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hyperlink r:id="rId10" w:tooltip="vizsga" w:history="1">
        <w:r w:rsidRPr="00646E6E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vizsga</w:t>
        </w:r>
      </w:hyperlink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646E6E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hyperlink r:id="rId11" w:tooltip="tanulás" w:history="1">
        <w:r w:rsidRPr="00646E6E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tanulás</w:t>
        </w:r>
      </w:hyperlink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646E6E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proofErr w:type="gramEnd"/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fldChar w:fldCharType="begin"/>
      </w:r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instrText xml:space="preserve"> HYPERLINK "http://cimkezes.origo.hu/cimkek/teljesitmenyfokozo/index.html?tag=teljes%EDtm%E9nyfokoz%F3" \o "teljesítményfokozó" </w:instrText>
      </w:r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fldChar w:fldCharType="separate"/>
      </w:r>
      <w:proofErr w:type="gramStart"/>
      <w:r w:rsidRPr="00646E6E">
        <w:rPr>
          <w:rFonts w:ascii="Arial" w:eastAsia="Times New Roman" w:hAnsi="Arial" w:cs="Arial"/>
          <w:color w:val="0060C3"/>
          <w:sz w:val="13"/>
          <w:u w:val="single"/>
          <w:lang w:val="hu-HU" w:eastAsia="hu-HU"/>
        </w:rPr>
        <w:t>teljesítményfokozó</w:t>
      </w:r>
      <w:proofErr w:type="gramEnd"/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fldChar w:fldCharType="end"/>
      </w:r>
      <w:r w:rsidRPr="00646E6E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646E6E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hyperlink r:id="rId12" w:tooltip="dopping" w:history="1">
        <w:r w:rsidRPr="00646E6E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dopping</w:t>
        </w:r>
      </w:hyperlink>
    </w:p>
    <w:p w:rsidR="00646E6E" w:rsidRPr="00646E6E" w:rsidRDefault="00646E6E" w:rsidP="00646E6E">
      <w:pPr>
        <w:numPr>
          <w:ilvl w:val="0"/>
          <w:numId w:val="1"/>
        </w:numPr>
        <w:pBdr>
          <w:right w:val="single" w:sz="4" w:space="5" w:color="DDDDDD"/>
        </w:pBdr>
        <w:shd w:val="clear" w:color="auto" w:fill="FFFFFF"/>
        <w:spacing w:after="0" w:line="240" w:lineRule="auto"/>
        <w:ind w:left="0" w:right="97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646E6E" w:rsidRPr="00646E6E" w:rsidRDefault="00646E6E" w:rsidP="00646E6E">
      <w:pPr>
        <w:numPr>
          <w:ilvl w:val="0"/>
          <w:numId w:val="1"/>
        </w:numPr>
        <w:pBdr>
          <w:right w:val="single" w:sz="4" w:space="5" w:color="DDDDDD"/>
        </w:pBdr>
        <w:shd w:val="clear" w:color="auto" w:fill="FFFFFF"/>
        <w:spacing w:after="0" w:line="240" w:lineRule="auto"/>
        <w:ind w:left="0" w:right="97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646E6E" w:rsidRPr="00646E6E" w:rsidRDefault="00646E6E" w:rsidP="00646E6E">
      <w:pPr>
        <w:numPr>
          <w:ilvl w:val="0"/>
          <w:numId w:val="1"/>
        </w:numPr>
        <w:pBdr>
          <w:right w:val="single" w:sz="4" w:space="5" w:color="DDDDDD"/>
        </w:pBdr>
        <w:shd w:val="clear" w:color="auto" w:fill="FFFFFF"/>
        <w:spacing w:after="0" w:line="240" w:lineRule="auto"/>
        <w:ind w:left="0" w:right="97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646E6E" w:rsidRPr="00646E6E" w:rsidRDefault="00646E6E" w:rsidP="00646E6E">
      <w:pPr>
        <w:numPr>
          <w:ilvl w:val="0"/>
          <w:numId w:val="1"/>
        </w:numPr>
        <w:pBdr>
          <w:right w:val="single" w:sz="4" w:space="5" w:color="DDDDDD"/>
        </w:pBdr>
        <w:shd w:val="clear" w:color="auto" w:fill="FFFFFF"/>
        <w:spacing w:after="0" w:line="240" w:lineRule="auto"/>
        <w:ind w:left="0" w:right="97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646E6E" w:rsidRPr="00646E6E" w:rsidRDefault="00646E6E" w:rsidP="00646E6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646E6E" w:rsidRPr="00646E6E" w:rsidRDefault="00646E6E" w:rsidP="00646E6E">
      <w:pPr>
        <w:numPr>
          <w:ilvl w:val="0"/>
          <w:numId w:val="2"/>
        </w:numPr>
        <w:shd w:val="clear" w:color="auto" w:fill="FFFFFF"/>
        <w:spacing w:after="0" w:line="240" w:lineRule="auto"/>
        <w:ind w:left="0" w:right="86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646E6E" w:rsidRPr="00646E6E" w:rsidRDefault="00646E6E" w:rsidP="00646E6E">
      <w:pPr>
        <w:numPr>
          <w:ilvl w:val="0"/>
          <w:numId w:val="2"/>
        </w:numPr>
        <w:shd w:val="clear" w:color="auto" w:fill="FFFFFF"/>
        <w:spacing w:after="0" w:line="240" w:lineRule="auto"/>
        <w:ind w:left="0" w:right="86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646E6E" w:rsidRPr="00646E6E" w:rsidRDefault="00646E6E" w:rsidP="00646E6E">
      <w:pPr>
        <w:numPr>
          <w:ilvl w:val="0"/>
          <w:numId w:val="2"/>
        </w:numPr>
        <w:shd w:val="clear" w:color="auto" w:fill="FFFFFF"/>
        <w:spacing w:after="0" w:line="240" w:lineRule="auto"/>
        <w:ind w:left="0" w:right="86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646E6E" w:rsidRPr="00646E6E" w:rsidRDefault="00646E6E" w:rsidP="00646E6E">
      <w:pPr>
        <w:numPr>
          <w:ilvl w:val="0"/>
          <w:numId w:val="2"/>
        </w:numPr>
        <w:shd w:val="clear" w:color="auto" w:fill="FFFFFF"/>
        <w:spacing w:after="129" w:line="240" w:lineRule="auto"/>
        <w:ind w:left="0" w:right="86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646E6E" w:rsidRPr="00646E6E" w:rsidRDefault="00646E6E" w:rsidP="00646E6E">
      <w:pPr>
        <w:shd w:val="clear" w:color="auto" w:fill="FFFFFF"/>
        <w:spacing w:after="129" w:line="236" w:lineRule="atLeast"/>
        <w:rPr>
          <w:rFonts w:ascii="Arial" w:eastAsia="Times New Roman" w:hAnsi="Arial" w:cs="Arial"/>
          <w:b/>
          <w:bCs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b/>
          <w:bCs/>
          <w:color w:val="000000"/>
          <w:sz w:val="15"/>
          <w:szCs w:val="15"/>
          <w:lang w:val="hu-HU" w:eastAsia="hu-HU"/>
        </w:rPr>
        <w:t>A sportvilág a doppingvétséget csalásnak tekinti és bünteti. De vajon üldözendők vagy üdvözlendők-e az amerikai egyetemisták körében egyelőre illegálisan terjedő, szellemi teljesítményt fokozó szerek?</w:t>
      </w:r>
    </w:p>
    <w:p w:rsidR="00646E6E" w:rsidRPr="00646E6E" w:rsidRDefault="00646E6E" w:rsidP="00646E6E">
      <w:pPr>
        <w:shd w:val="clear" w:color="auto" w:fill="FFFFFF"/>
        <w:spacing w:after="129" w:line="236" w:lineRule="atLeast"/>
        <w:rPr>
          <w:rFonts w:ascii="Arial" w:eastAsia="Times New Roman" w:hAnsi="Arial" w:cs="Arial"/>
          <w:b/>
          <w:bCs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b/>
          <w:bCs/>
          <w:color w:val="000000"/>
          <w:sz w:val="15"/>
          <w:szCs w:val="15"/>
          <w:lang w:val="hu-HU" w:eastAsia="hu-HU"/>
        </w:rPr>
        <w:t> </w:t>
      </w:r>
    </w:p>
    <w:p w:rsidR="00646E6E" w:rsidRPr="00646E6E" w:rsidRDefault="00646E6E" w:rsidP="00646E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646E6E" w:rsidRPr="00646E6E" w:rsidRDefault="00646E6E" w:rsidP="00646E6E">
      <w:pPr>
        <w:pBdr>
          <w:bottom w:val="single" w:sz="4" w:space="3" w:color="CCCCCC"/>
        </w:pBd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aps/>
          <w:color w:val="000000"/>
          <w:sz w:val="27"/>
          <w:szCs w:val="27"/>
          <w:lang w:val="hu-HU" w:eastAsia="hu-HU"/>
        </w:rPr>
      </w:pPr>
      <w:r w:rsidRPr="00646E6E">
        <w:rPr>
          <w:rFonts w:ascii="Arial" w:eastAsia="Times New Roman" w:hAnsi="Arial" w:cs="Arial"/>
          <w:b/>
          <w:bCs/>
          <w:caps/>
          <w:color w:val="000000"/>
          <w:sz w:val="27"/>
          <w:szCs w:val="27"/>
          <w:lang w:val="hu-HU" w:eastAsia="hu-HU"/>
        </w:rPr>
        <w:t>AJÁNLAT</w:t>
      </w:r>
    </w:p>
    <w:p w:rsidR="00646E6E" w:rsidRPr="00646E6E" w:rsidRDefault="00646E6E" w:rsidP="00646E6E">
      <w:pPr>
        <w:numPr>
          <w:ilvl w:val="0"/>
          <w:numId w:val="3"/>
        </w:numPr>
        <w:spacing w:after="0" w:line="240" w:lineRule="auto"/>
        <w:ind w:left="96" w:right="214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hyperlink r:id="rId13" w:tooltip="Az energiaitalok az agyat serkentve fokozhatják a teljesítményt" w:history="1">
        <w:r w:rsidRPr="00646E6E">
          <w:rPr>
            <w:rFonts w:ascii="Arial" w:eastAsia="Times New Roman" w:hAnsi="Arial" w:cs="Arial"/>
            <w:b/>
            <w:bCs/>
            <w:color w:val="0060C3"/>
            <w:sz w:val="12"/>
            <w:u w:val="single"/>
            <w:lang w:val="hu-HU" w:eastAsia="hu-HU"/>
          </w:rPr>
          <w:t>Az energiaitalok az agyat serkentve fokozhatják a teljesítményt</w:t>
        </w:r>
      </w:hyperlink>
    </w:p>
    <w:p w:rsidR="00646E6E" w:rsidRPr="00646E6E" w:rsidRDefault="00646E6E" w:rsidP="00646E6E">
      <w:pPr>
        <w:numPr>
          <w:ilvl w:val="0"/>
          <w:numId w:val="3"/>
        </w:numPr>
        <w:spacing w:after="0" w:line="240" w:lineRule="auto"/>
        <w:ind w:left="96" w:right="214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hyperlink r:id="rId14" w:tooltip="Kiszűrik a saját vérükkel doppingoló sportolókat a londoni olimpián" w:history="1">
        <w:r w:rsidRPr="00646E6E">
          <w:rPr>
            <w:rFonts w:ascii="Arial" w:eastAsia="Times New Roman" w:hAnsi="Arial" w:cs="Arial"/>
            <w:b/>
            <w:bCs/>
            <w:color w:val="0060C3"/>
            <w:sz w:val="12"/>
            <w:u w:val="single"/>
            <w:lang w:val="hu-HU" w:eastAsia="hu-HU"/>
          </w:rPr>
          <w:t>Kiszűrik a saját vérükkel doppingoló sportolókat a londoni olimpián</w:t>
        </w:r>
      </w:hyperlink>
    </w:p>
    <w:p w:rsidR="00646E6E" w:rsidRPr="00646E6E" w:rsidRDefault="00646E6E" w:rsidP="00646E6E">
      <w:pPr>
        <w:numPr>
          <w:ilvl w:val="0"/>
          <w:numId w:val="3"/>
        </w:numPr>
        <w:spacing w:after="0" w:line="240" w:lineRule="auto"/>
        <w:ind w:left="96" w:right="214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hyperlink r:id="rId15" w:tooltip="A csoki és a bor jó kombináció az elbutulás ellen" w:history="1">
        <w:r w:rsidRPr="00646E6E">
          <w:rPr>
            <w:rFonts w:ascii="Arial" w:eastAsia="Times New Roman" w:hAnsi="Arial" w:cs="Arial"/>
            <w:b/>
            <w:bCs/>
            <w:color w:val="0060C3"/>
            <w:sz w:val="12"/>
            <w:u w:val="single"/>
            <w:lang w:val="hu-HU" w:eastAsia="hu-HU"/>
          </w:rPr>
          <w:t>A csoki és a bor jó kombináció az elbutulás ellen</w:t>
        </w:r>
      </w:hyperlink>
    </w:p>
    <w:p w:rsidR="00646E6E" w:rsidRPr="00646E6E" w:rsidRDefault="00646E6E" w:rsidP="00646E6E">
      <w:pPr>
        <w:numPr>
          <w:ilvl w:val="0"/>
          <w:numId w:val="3"/>
        </w:numPr>
        <w:spacing w:after="0" w:line="240" w:lineRule="auto"/>
        <w:ind w:left="96" w:right="214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hyperlink r:id="rId16" w:tooltip="A nők rossz hatással vannak a férfiak gondolkodási teljesítményére" w:history="1">
        <w:r w:rsidRPr="00646E6E">
          <w:rPr>
            <w:rFonts w:ascii="Arial" w:eastAsia="Times New Roman" w:hAnsi="Arial" w:cs="Arial"/>
            <w:b/>
            <w:bCs/>
            <w:color w:val="0060C3"/>
            <w:sz w:val="12"/>
            <w:u w:val="single"/>
            <w:lang w:val="hu-HU" w:eastAsia="hu-HU"/>
          </w:rPr>
          <w:t>A nők rossz hatással vannak a férfiak gondolkodási teljesítményére</w:t>
        </w:r>
      </w:hyperlink>
    </w:p>
    <w:p w:rsidR="00646E6E" w:rsidRPr="00646E6E" w:rsidRDefault="00646E6E" w:rsidP="00646E6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646E6E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teteje</w:t>
      </w:r>
    </w:p>
    <w:p w:rsidR="00646E6E" w:rsidRPr="00646E6E" w:rsidRDefault="00646E6E" w:rsidP="00646E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54.8pt;height:18.8pt" o:ole="">
            <v:imagedata r:id="rId17" o:title=""/>
          </v:shape>
          <w:control r:id="rId18" w:name="DefaultOcxName" w:shapeid="_x0000_i1037"/>
        </w:object>
      </w:r>
    </w:p>
    <w:p w:rsidR="00646E6E" w:rsidRPr="00646E6E" w:rsidRDefault="00646E6E" w:rsidP="00646E6E">
      <w:pPr>
        <w:pBdr>
          <w:top w:val="single" w:sz="6" w:space="1" w:color="auto"/>
        </w:pBdr>
        <w:spacing w:after="86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646E6E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alja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Ha ma egy egyesült államokbeli kampuszon egy jól elrejtőzött megfigyelő ellesi a pillanatot, amikor egy diák súlyos pénzért tablettákat ad át a másiknak, egyáltalán nem biztos, hogy hagyományos élvezeti droghasználatra kell gyanakodnia. Könnyen lehet ugyanis, hogy patikában, receptre kapható szer cserélt gazdát, amelyet nem azért vásárolnak a fiatalok, hogy "utazzanak", hanem hogy jobb jegyet kapjanak a következő vizsgán. </w:t>
      </w:r>
      <w:proofErr w:type="gramStart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</w:t>
      </w:r>
      <w:proofErr w:type="gramEnd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titkolózás mégis indokolt: az effajta tranzakciók a jelenlegi szabályozás szerint éppúgy bűncselekménynek minősülnek, mintha kábítószerüzlet üttetett volna nyélbe, és a résztvevők a börtönt kockáztatják.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Sokan helyeslik a törvény szigorát, mondván: a szellemi teljesítményfokozók használata az elme megmérettetésének világában éppolyan csalás, mint a doppingszerek alkalmazása a testi versengésben, s ezen túl még természetellenes és veszélyes is. Az amerikai közvéleménynek ugyanakkor szembe kell néznie a trenddel, hogy egyetemi diákjaik mintegy 7 százaléka, egyes kitüntetett campusokon akár a hallgatók 25 százaléka is él az agyi stimulánsok nyújtotta előnyökkel.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b/>
          <w:bCs/>
          <w:color w:val="000000"/>
          <w:sz w:val="15"/>
          <w:lang w:val="hu-HU" w:eastAsia="hu-HU"/>
        </w:rPr>
        <w:t>Ami jó a betegnek, jó lehet másnak is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Nem újdonság, hogy a pszichiátriai és neurológiai betegeknek felírt gyógyszerek nagy része az egészségesek szellemi teljesítményét is fokozza. Érthető módon azok a stimulánsok (mint a </w:t>
      </w:r>
      <w:proofErr w:type="spellStart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metifenidát</w:t>
      </w:r>
      <w:proofErr w:type="spellEnd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vagy az amfetamin), amelyek a figyelemzavaros-hiperaktív gyerekek tanulási képességeit hivatottak javítani, hasonló hatással bírnak az e problémával nem küzdő személyek mentális teljesítményére is. Az agyi </w:t>
      </w:r>
      <w:proofErr w:type="spellStart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ingerületátvitelre</w:t>
      </w:r>
      <w:proofErr w:type="spellEnd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, konkrétan a </w:t>
      </w:r>
      <w:proofErr w:type="spellStart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katekolamin-rendszerre</w:t>
      </w:r>
      <w:proofErr w:type="spellEnd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gyakorolt hatásuk révén számottevően javítják az úgynevezett végrehajtó funkciók - például a figyelem-összpontosítás és a rövid távú memóriában tárolt információkkal végzett műveletek - terén nyújtott teljesítményt, betegekben és makkegészségesekben egyaránt. Mivel az USA-ban az egyetemre készülő diákok mintegy 4-7 százaléka szenved orvosilag diagnosztizált figyelemzavar-hiperaktivitás szindrómában, és számukra ezek a gyógyszerek jelentik az elsődleges terápiát, elképzelhető, hogy a nekik felírt, ám a diáktársak körében egyre kelendőbb pirulák könnyen illetéktelen kezekbe vándorolnak.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Az említett szerek a stimuláló hatáson felül némi memóriafokozó képességgel is bírnak, csakúgy, mint az Alzheimer-kór tüneti kezelésére kifejlesztett, agyi </w:t>
      </w:r>
      <w:proofErr w:type="spellStart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acetilkolin-szintet</w:t>
      </w:r>
      <w:proofErr w:type="spellEnd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emelő vegyületek. Jelenleg is számos memóriajavító szer áll klinikai fejlesztés alatt, s mivel ezeket a kipróbálásuk első stádiumában úgyis egészséges alanyokon tesztelik, a rajtuk jelentkező pozitív hatásokat nehéz nem észrevenni. Akadnak ritkább gyógyszerek, amelyek a fáradtságot segítenek leküzdeni a különféle eredetű alvászavarokban. Ezeket már maguk az orvosok is jóval szélesebb körben alkalmazzák a szoros értelemben vett javallatnál: nemcsak egy sor neurológiai és pszichiátriai kórképben írják fel őket, hanem olyan egészséges embereknek is, akiknek az alvásmegvonás ellenére is hosszú időn át figyelmesnek és ébernek kell maradniuk - mint például épp az ügyeletben lévő orvosoknak.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b/>
          <w:bCs/>
          <w:color w:val="000000"/>
          <w:sz w:val="15"/>
          <w:lang w:val="hu-HU" w:eastAsia="hu-HU"/>
        </w:rPr>
        <w:t>Tiltani vagy szabályozni?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 szellemi teljesítményfokozók használata körül fellángoló vitákban az ellenzők három fő érvet szoktak felvonultatni: hogy e szerek szedése egyszerűen csalás, hogy természetellenes, illetve hogy helytelen használathoz vezethet. Szakemberek - jogászok, pszichiáterek, elmekutatók, tudományetikával, egészségügyi ellátással foglalkozók - egy csoportja azonban úgy véli, hogy mint szinte minden emberi felfedezés, úgy ez is fordítható jó és rossz célra egyaránt. Ugyanakkor a tiltás logikus érvekkel nehezen indokolható, és </w:t>
      </w: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lastRenderedPageBreak/>
        <w:t>nem fér össze a demokratikus jogelvekkel sem. Ők a kriminalizálással szemben amellett érvelnek, hogy elsődlegesen az orvosi szakma, másodsorban pedig az egyetemi oktatók és az emberi erőforrások fölött rendelkezők bevonásával ki kell dolgozni a szellemi teljesítményfokozók alkalmazásának átgondolt szabályozását.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A csalás vádjával szemben felhozzák: miért felháborítóbb ez a már bevett teljesítményfokozó módszereknél, mint amilyen a magántanár segítségével történő felkészülés vagy akár csak egy erős presszókávé felhajtása? Véleményük szerint meglehetősen önkényes döntés, hogy a szabályok mit zárnak ki a játékból. A "természetellenességre" való utalást még inkább megalapozatlannak tartják, hiszen a civilizált élet szinte valamennyi mozzanata, az ételeinktől a ruházatunkon át az eszközeinkig és az otthonainkig - az általunk élvezett orvosi ellátásról nem is beszélve - velejéig természetellenes, már ha az emberi faj valahai természetes állapotát tekintjük kiindulópontnak. A helytelen szerhasználattal kapcsolatban pedig nyilvánvalóan meg lehet fogalmazni aggályokat, ám szerintük ez még nem lehet ok a tiltásra. A társadalom és a jogalkotás rengeteg "szert" vagy "drogot" tart számon, amelyekkel élni és visszaélni lehetséges, s ezeket folytonos skálán helyezi el az egyénre és a közösségre nézve rendkívül veszélyes (például heroin) és a jobbára ártalmatlan (például koffein) között. Ennek a skálának a legális tartományán - megfelelő szabályozás mellett - még számtalan "drognak" juthat hely.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b/>
          <w:bCs/>
          <w:color w:val="000000"/>
          <w:sz w:val="15"/>
          <w:lang w:val="hu-HU" w:eastAsia="hu-HU"/>
        </w:rPr>
        <w:t>A helyeslők aggályai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 legalizálás mellett kardoskodók számára a szellemiteljesítmény-fokozók használata teljesen másféle problémákat vet fel - éppen ezért látják égető szükségét a szabályozás mielőbbi kidolgozásának. Legelső és legfontosabb szempontjuk a biztonság. Gyógyszerekről lévén szó, a lehetséges mellékhatások felderítése megtörtént, azonban ezeket az előírásszerű használat körülményei között, vagyis a kezelendő betegeken és nem az agyukat a végletekig csúcsra járatni akaró egészségeseken vizsgálták. Még az ismert mellékhatások is más elbírálás alá esnek attól függően, hogy egy súlyos </w:t>
      </w:r>
      <w:proofErr w:type="spellStart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demenciában</w:t>
      </w:r>
      <w:proofErr w:type="spellEnd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szenvedő páciens szellemi képességeinek helyreállítása vagy egy egyetemi vizsgajegy feljavítása a tét. Ami elfogadható kellemetlenségnek tűnik az első esetben, az egy egészséges ember számára túl nagy ár lehet némi extra vizsgapontért cserébe. Gyerekeknek pedig beláthatatlanul veszélyes e szerek használata, hiszen semmit nem tudunk a fejlődő agyra hosszú távon kifejtett hatásaikról.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 második fő szempont az, hogy senki se kényszerülhessen akarata ellenére a szerek használatára. Egy olyan kompetitív helyzetben például, ahol a résztvevők egy része szerhasználó, a tisztán játszók - </w:t>
      </w:r>
      <w:proofErr w:type="gramStart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épp</w:t>
      </w:r>
      <w:proofErr w:type="gramEnd"/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mint a sportban -  versenyhátrányba kerülnek, ezért áttételesen komoly kényszer nehezedik rájuk. De előadódhat olyan szituáció is, ahol a munkaadó várja el a teljesítménynövelők használatát az alkalmazottjaitól. Az Egyesült Államok hadseregében például a tisztek régóta legálisan utasíthatják katonáikat a teljesítményfokozók bevételére, ha ezt egy különösen nagy igénybevétellel járó küldetés teljesítése szempontjából helyesnek tartják. Átterjedhet ez a jelenség a civil szférára is? A kérdés cseppet sem egyszerű. Ha kiderülne, hogy a sebészek egy pirula hatása alatt nagyobb biztonsággal tudnak elvégezni egy rendkívül kockázatos beavatkozást, vajon indokoltnak tartanánk-e, hogy a feletteseik és a betegeik elvárják tőlük a szerhasználatot?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Végül a harmadik, az előzővel szorosan összefüggő szempont az esélyegyenlőség. A tanulás és a munka terén eleve óriásiak a családi, anyagi, szociális háttér különbözőségéből fakadó egyenlőtlenségek. Az illegálisan árult képességfokozókhoz is nyilván inkább a tehetősek férnek hozzá, így a szerek szabályozatlan elterjedése nyomán még szélesebbre nyílna az olló a szegényebb és a gazdagabb diákok lehetőségei között.</w:t>
      </w:r>
    </w:p>
    <w:p w:rsidR="00646E6E" w:rsidRPr="00646E6E" w:rsidRDefault="00646E6E" w:rsidP="00646E6E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646E6E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Senki sem állítja, hogy ezekre a problémákra könnyű egyhamar megoldást találni. Azonban a szerhasználat legalizálását pártolók szerint kellően bölcs - vagyis a biztonsági, emberi jogi és esélyegyenlőségi szempontokat egyaránt figyelembe vevő - szabályozás mellett az elmét felvillanyozó drogok használatából nemcsak a betegek, de az emberiség egésze is komoly hasznot húzhatna. Meggyőződésük, hogy e szerekben ott rejlik az egyéni életminőség javításának és a társadalmi termelékenység növelésének együttes lehetősége.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9030E"/>
    <w:multiLevelType w:val="multilevel"/>
    <w:tmpl w:val="DA70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A10E1F"/>
    <w:multiLevelType w:val="multilevel"/>
    <w:tmpl w:val="EEA0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145AEC"/>
    <w:multiLevelType w:val="multilevel"/>
    <w:tmpl w:val="C0C4C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646E6E"/>
    <w:rsid w:val="0009578D"/>
    <w:rsid w:val="000A7A4B"/>
    <w:rsid w:val="00202182"/>
    <w:rsid w:val="002506AB"/>
    <w:rsid w:val="00333280"/>
    <w:rsid w:val="00507F28"/>
    <w:rsid w:val="00535417"/>
    <w:rsid w:val="005D0245"/>
    <w:rsid w:val="00646E6E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646E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646E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46E6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646E6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46E6E"/>
    <w:rPr>
      <w:color w:val="0000FF"/>
      <w:u w:val="single"/>
    </w:rPr>
  </w:style>
  <w:style w:type="character" w:customStyle="1" w:styleId="elvalaszt">
    <w:name w:val="elvalaszt"/>
    <w:basedOn w:val="Bekezdsalapbettpusa"/>
    <w:rsid w:val="00646E6E"/>
  </w:style>
  <w:style w:type="character" w:customStyle="1" w:styleId="cikk-datum">
    <w:name w:val="cikk-datum"/>
    <w:basedOn w:val="Bekezdsalapbettpusa"/>
    <w:rsid w:val="00646E6E"/>
  </w:style>
  <w:style w:type="character" w:customStyle="1" w:styleId="apple-converted-space">
    <w:name w:val="apple-converted-space"/>
    <w:basedOn w:val="Bekezdsalapbettpusa"/>
    <w:rsid w:val="00646E6E"/>
  </w:style>
  <w:style w:type="paragraph" w:styleId="NormlWeb">
    <w:name w:val="Normal (Web)"/>
    <w:basedOn w:val="Norml"/>
    <w:uiPriority w:val="99"/>
    <w:semiHidden/>
    <w:unhideWhenUsed/>
    <w:rsid w:val="0064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646E6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646E6E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646E6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646E6E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646E6E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4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46E6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6339">
          <w:marLeft w:val="0"/>
          <w:marRight w:val="0"/>
          <w:marTop w:val="54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5713">
          <w:marLeft w:val="0"/>
          <w:marRight w:val="0"/>
          <w:marTop w:val="129"/>
          <w:marBottom w:val="129"/>
          <w:divBdr>
            <w:top w:val="single" w:sz="4" w:space="5" w:color="DDDDDD"/>
            <w:left w:val="none" w:sz="0" w:space="5" w:color="auto"/>
            <w:bottom w:val="single" w:sz="4" w:space="5" w:color="DDDDDD"/>
            <w:right w:val="none" w:sz="0" w:space="0" w:color="auto"/>
          </w:divBdr>
        </w:div>
        <w:div w:id="1950240430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988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6409">
              <w:marLeft w:val="0"/>
              <w:marRight w:val="150"/>
              <w:marTop w:val="54"/>
              <w:marBottom w:val="86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16397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2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serkentoszer/index.html?tag=serkent%F5szer" TargetMode="External"/><Relationship Id="rId13" Type="http://schemas.openxmlformats.org/officeDocument/2006/relationships/hyperlink" Target="http://www.origo.hu/tudomany/20090415-az-energiaitalok-az-agy-jutalmazo-kozpontjat-ingerelve-fokozzak-a-teljesitmenyt.html" TargetMode="External"/><Relationship Id="rId1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egyesult-allamok/index.html?tag=Egyes%FClt+%C1llamok" TargetMode="External"/><Relationship Id="rId12" Type="http://schemas.openxmlformats.org/officeDocument/2006/relationships/hyperlink" Target="http://cimkezes.origo.hu/cimkek/dopping/index.html?tag=dopping" TargetMode="External"/><Relationship Id="rId1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hyperlink" Target="http://www.origo.hu/tudomany/20111123-a-ferfiak-gondolkodasi-teljesitmenye-romlik-ha-nokkel-kerulnek-kapcsolatba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origo.hu/tudomany/komment/20120215-agyra-gyurnak-sportvilag-doppingvetseg-egyesult-allamok-szellemi-teljesitmenyfokozok-serkentoszerek.html" TargetMode="External"/><Relationship Id="rId11" Type="http://schemas.openxmlformats.org/officeDocument/2006/relationships/hyperlink" Target="http://cimkezes.origo.hu/cimkek/tanulas/index.html?tag=tanul%E1s" TargetMode="External"/><Relationship Id="rId5" Type="http://schemas.openxmlformats.org/officeDocument/2006/relationships/hyperlink" Target="http://origo.hu/irjon/index.html" TargetMode="External"/><Relationship Id="rId15" Type="http://schemas.openxmlformats.org/officeDocument/2006/relationships/hyperlink" Target="http://www.origo.hu/tudomany/20110114-a-flavonoidok-megakadalyozzak-a-korai-elbutulast.html" TargetMode="External"/><Relationship Id="rId10" Type="http://schemas.openxmlformats.org/officeDocument/2006/relationships/hyperlink" Target="http://cimkezes.origo.hu/cimkek/vizsga/index.html?tag=vizsga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imkezes.origo.hu/cimkek/agymukodes/index.html?tag=agym%FBk%F6d%E9s" TargetMode="External"/><Relationship Id="rId14" Type="http://schemas.openxmlformats.org/officeDocument/2006/relationships/hyperlink" Target="http://www.origo.hu/tudomany/20110913-autolog-veratomlesztes-szigorubb-tesztekkel-szurik-a-doppingot-a-londoni-olimpian.ht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1326</Words>
  <Characters>9150</Characters>
  <Application>Microsoft Office Word</Application>
  <DocSecurity>0</DocSecurity>
  <Lines>76</Lines>
  <Paragraphs>20</Paragraphs>
  <ScaleCrop>false</ScaleCrop>
  <Company>Microsoft Corporation</Company>
  <LinksUpToDate>false</LinksUpToDate>
  <CharactersWithSpaces>10456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2012-02-27T14:57:00Z</dcterms:created>
  <dcterms:modified xsi:type="dcterms:W3CDTF">2012-02-27T14:57:00Z</dcterms:modified>
</cp:coreProperties>
</file>